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Curriculum Vitae</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Chaitanya D Sambangi, DO, MPH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Assistant Professor, Division of Pediatric Endocrinology</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University of Maryland</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Date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06/08/2026</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Contact Information</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Business Address</w:t>
        <w:tab/>
        <w:tab/>
        <w:t xml:space="preserve">University of Maryland Pediatric Associates, PA</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Department of Pediatrics, Division of Pediatric Endocrinology</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ab/>
        <w:t xml:space="preserve">22 S Greene St, Baltimore, MD 21201</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Business Phone Number</w:t>
        <w:tab/>
        <w:t xml:space="preserve">410-328-5887</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Foreign Languages</w:t>
        <w:tab/>
        <w:tab/>
        <w:t xml:space="preserve">Telugu (fluent), Hindi (proficient), Spanish (working knowledge)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Education</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hanging="21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2011 - 2015 </w:t>
        <w:tab/>
        <w:t xml:space="preserve">B.S., Neuroscience and Health Science, Society, Policy (HSSP), Brandeis University</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hanging="21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2016 - 2018 </w:t>
        <w:tab/>
        <w:t xml:space="preserve">M.P.H., The George Washington University (GWU) Milken Institute of Public Health</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hanging="21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2016 - 2020 </w:t>
        <w:tab/>
        <w:t xml:space="preserve">D.O., Campbell University School of Osteopathic Medicine (CUSOM)</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hanging="21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2017 – 2018 </w:t>
        <w:tab/>
        <w:t xml:space="preserve">Professionalism and Leadership in the Medical Setting (PaLMS)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Post-Graduate Education and Training</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2020 – 2021</w:t>
        <w:tab/>
        <w:tab/>
        <w:t xml:space="preserve">Internship, Pediatrics, Children’s Hospital of Georgia (CHOG)</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2021 – 2023</w:t>
        <w:tab/>
        <w:tab/>
        <w:t xml:space="preserve">Residency, Pediatrics, CHOG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hanging="21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2023 - Present </w:t>
        <w:tab/>
        <w:t xml:space="preserve">Clinical Fellowship, Pediatric Endocrinology, Children’s National Hospital (CNH)</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hanging="21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2024 - Present </w:t>
        <w:tab/>
        <w:t xml:space="preserve">Clinical Public Health Track, GWU</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hanging="21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2025 </w:t>
        <w:tab/>
        <w:t xml:space="preserve">International Society for Pediatric and Adolescent Diabetes (ISPAD) Science School, Hannover, Germany</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hanging="21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2026</w:t>
        <w:tab/>
        <w:t xml:space="preserve">American Diabetes Association (ADA) Scholars, New Orleans, Louisiana</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Certifications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2024</w:t>
        <w:tab/>
        <w:t xml:space="preserve">Diplomate, American Board of Pediatrics</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2024 </w:t>
        <w:tab/>
        <w:t xml:space="preserve">Institute for Healthcare Improvement – Quality Improvement</w:t>
      </w:r>
    </w:p>
    <w:p w:rsidR="00000000" w:rsidDel="00000000" w:rsidP="00000000" w:rsidRDefault="00000000" w:rsidRPr="00000000" w14:paraId="00000023">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Medical Licensures</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2020 </w:t>
        <w:tab/>
        <w:t xml:space="preserve">Georgia License (inactive)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2020 </w:t>
        <w:tab/>
        <w:t xml:space="preserve">South Carolina License (inactive)</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2020</w:t>
        <w:tab/>
        <w:t xml:space="preserve">Controlled Substance License</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2020 </w:t>
        <w:tab/>
        <w:t xml:space="preserve">Drug Enforcement Agency License</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2023 </w:t>
        <w:tab/>
        <w:t xml:space="preserve">District of Columbia License</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2026 </w:t>
        <w:tab/>
        <w:t xml:space="preserve">Maryland License (active)</w:t>
      </w:r>
      <w:r w:rsidDel="00000000" w:rsidR="00000000" w:rsidRPr="00000000">
        <w:rPr>
          <w:rtl w:val="0"/>
        </w:rPr>
      </w:r>
    </w:p>
    <w:p w:rsidR="00000000" w:rsidDel="00000000" w:rsidP="00000000" w:rsidRDefault="00000000" w:rsidRPr="00000000" w14:paraId="0000002B">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C">
      <w:pPr>
        <w:spacing w:after="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Employment History</w:t>
      </w:r>
    </w:p>
    <w:p w:rsidR="00000000" w:rsidDel="00000000" w:rsidP="00000000" w:rsidRDefault="00000000" w:rsidRPr="00000000" w14:paraId="0000002D">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2015 – 2015</w:t>
        <w:tab/>
        <w:t xml:space="preserve">Neuropsychology Research Assistant </w:t>
      </w:r>
    </w:p>
    <w:p w:rsidR="00000000" w:rsidDel="00000000" w:rsidP="00000000" w:rsidRDefault="00000000" w:rsidRPr="00000000" w14:paraId="0000002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 xml:space="preserve">Memory and Cognition Lab, Brandeis University, Waltham, MA</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2015 – 2016</w:t>
        <w:tab/>
        <w:t xml:space="preserve">Medical Scribe in Emergency Department</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 xml:space="preserve">Essia Health/Scribe America, Milford Regional Medical Center, MA</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Honors and Awards</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2015 </w:t>
        <w:tab/>
        <w:t xml:space="preserve">Bronze-Level Recognition for Commitment to Service, Brandeis University </w:t>
        <w:br w:type="textWrapping"/>
        <w:t xml:space="preserve">2020 </w:t>
        <w:tab/>
        <w:t xml:space="preserve">Gold-Level Recognition for Community Service Hours, CUSOM</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2021 </w:t>
        <w:tab/>
        <w:t xml:space="preserve">Exemplary Student Teaching in the Pediatric Clerkship, CHOG</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Clinical Activities</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Clinical Expertise</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Board-certified Pediatrician</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Board-eligible, Pediatric Endocrinology (Anticipated 2027)</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Professional Society Memberships</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1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2024 - 2025</w:t>
        <w:tab/>
        <w:t xml:space="preserve">Member, Pediatric Endocrine Society (PES)</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1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2025 - 2026</w:t>
        <w:tab/>
        <w:t xml:space="preserve">Member, International Society for Pediatric and Adolescent Diabetes (ISPAD)</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1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2025 - Present</w:t>
        <w:tab/>
        <w:t xml:space="preserve">Member, American Diabetes Association (ADA)</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Administrative Service</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47">
      <w:pPr>
        <w:tabs>
          <w:tab w:val="left" w:leader="none" w:pos="0"/>
        </w:tabs>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2021 – 2023</w:t>
        <w:tab/>
        <w:t xml:space="preserve">Selection Committee, Pediatric Residency Program, CHOG</w:t>
      </w:r>
    </w:p>
    <w:p w:rsidR="00000000" w:rsidDel="00000000" w:rsidP="00000000" w:rsidRDefault="00000000" w:rsidRPr="00000000" w14:paraId="0000004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2022 – 2023 </w:t>
        <w:tab/>
        <w:t xml:space="preserve">Chief Resident (PGY-3), Pediatric Residency Program, CHOG</w:t>
      </w:r>
    </w:p>
    <w:p w:rsidR="00000000" w:rsidDel="00000000" w:rsidP="00000000" w:rsidRDefault="00000000" w:rsidRPr="00000000" w14:paraId="0000004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2024 – 2026</w:t>
        <w:tab/>
        <w:t xml:space="preserve">Selection Committee, Pediatric Residency Program, CNH </w:t>
      </w:r>
    </w:p>
    <w:p w:rsidR="00000000" w:rsidDel="00000000" w:rsidP="00000000" w:rsidRDefault="00000000" w:rsidRPr="00000000" w14:paraId="0000004A">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after="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Institutional Service</w:t>
      </w:r>
    </w:p>
    <w:p w:rsidR="00000000" w:rsidDel="00000000" w:rsidP="00000000" w:rsidRDefault="00000000" w:rsidRPr="00000000" w14:paraId="0000004C">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spacing w:after="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CNH</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2024 - 2025</w:t>
        <w:tab/>
        <w:t xml:space="preserve">Volunteer Physician, Diabetes Access Clinic </w:t>
      </w:r>
    </w:p>
    <w:p w:rsidR="00000000" w:rsidDel="00000000" w:rsidP="00000000" w:rsidRDefault="00000000" w:rsidRPr="00000000" w14:paraId="0000004F">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spacing w:after="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GWU</w:t>
      </w:r>
    </w:p>
    <w:p w:rsidR="00000000" w:rsidDel="00000000" w:rsidP="00000000" w:rsidRDefault="00000000" w:rsidRPr="00000000" w14:paraId="0000005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2017 – 2018 </w:t>
        <w:tab/>
        <w:t xml:space="preserve">MPH Student Ambassador</w:t>
      </w:r>
    </w:p>
    <w:p w:rsidR="00000000" w:rsidDel="00000000" w:rsidP="00000000" w:rsidRDefault="00000000" w:rsidRPr="00000000" w14:paraId="00000052">
      <w:pPr>
        <w:spacing w:after="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53">
      <w:pPr>
        <w:spacing w:after="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Local Service</w:t>
      </w:r>
    </w:p>
    <w:p w:rsidR="00000000" w:rsidDel="00000000" w:rsidP="00000000" w:rsidRDefault="00000000" w:rsidRPr="00000000" w14:paraId="00000054">
      <w:pPr>
        <w:spacing w:after="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2017</w:t>
        <w:tab/>
        <w:t xml:space="preserve">Community Health Education Intern, Greater Lawrence Family Health Center, MA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2022</w:t>
        <w:tab/>
        <w:t xml:space="preserve">Medical Staff Volunteer, Camp Sweet Escape, SC</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2023</w:t>
        <w:tab/>
        <w:t xml:space="preserve">Medical Staff Volunteer, Camp Take Charge, Diabetes Sleepaway Camp, VA</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2025</w:t>
        <w:tab/>
        <w:t xml:space="preserve">Medical Staff Volunteer, Camp Take Charge, Diabetes Sleepaway Camp, MD</w:t>
      </w:r>
    </w:p>
    <w:p w:rsidR="00000000" w:rsidDel="00000000" w:rsidP="00000000" w:rsidRDefault="00000000" w:rsidRPr="00000000" w14:paraId="00000059">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spacing w:after="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International Service</w:t>
      </w:r>
    </w:p>
    <w:p w:rsidR="00000000" w:rsidDel="00000000" w:rsidP="00000000" w:rsidRDefault="00000000" w:rsidRPr="00000000" w14:paraId="0000005B">
      <w:pPr>
        <w:spacing w:after="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10" w:right="0" w:hanging="8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2014</w:t>
        <w:tab/>
        <w:t xml:space="preserve">Clinic Volunteer for Project Alajuelita, Foundation for the International Medical Relief of Children (FIMRC), Costa Rica</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spacing w:after="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Teaching Service</w:t>
      </w:r>
    </w:p>
    <w:p w:rsidR="00000000" w:rsidDel="00000000" w:rsidP="00000000" w:rsidRDefault="00000000" w:rsidRPr="00000000" w14:paraId="0000005F">
      <w:pPr>
        <w:spacing w:after="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60">
      <w:pPr>
        <w:spacing w:after="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Undergraduate Student Teaching</w:t>
      </w:r>
    </w:p>
    <w:p w:rsidR="00000000" w:rsidDel="00000000" w:rsidP="00000000" w:rsidRDefault="00000000" w:rsidRPr="00000000" w14:paraId="00000061">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2015 – 2015 </w:t>
        <w:tab/>
        <w:t xml:space="preserve">Teaching Assistant for Comparative Vertebrate Anatomy</w:t>
      </w:r>
    </w:p>
    <w:p w:rsidR="00000000" w:rsidDel="00000000" w:rsidP="00000000" w:rsidRDefault="00000000" w:rsidRPr="00000000" w14:paraId="00000063">
      <w:pPr>
        <w:spacing w:after="0" w:lineRule="auto"/>
        <w:ind w:left="72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Brandeis University Biology Department, Waltham, MA</w:t>
      </w:r>
    </w:p>
    <w:p w:rsidR="00000000" w:rsidDel="00000000" w:rsidP="00000000" w:rsidRDefault="00000000" w:rsidRPr="00000000" w14:paraId="00000064">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spacing w:after="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Medical Student Teaching</w:t>
      </w:r>
    </w:p>
    <w:p w:rsidR="00000000" w:rsidDel="00000000" w:rsidP="00000000" w:rsidRDefault="00000000" w:rsidRPr="00000000" w14:paraId="00000066">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2018</w:t>
        <w:tab/>
        <w:t xml:space="preserve">Small Group Leader, PaLMS, CUSOM</w:t>
      </w:r>
    </w:p>
    <w:p w:rsidR="00000000" w:rsidDel="00000000" w:rsidP="00000000" w:rsidRDefault="00000000" w:rsidRPr="00000000" w14:paraId="00000068">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spacing w:after="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Resident and Fellow Teaching</w:t>
      </w:r>
    </w:p>
    <w:p w:rsidR="00000000" w:rsidDel="00000000" w:rsidP="00000000" w:rsidRDefault="00000000" w:rsidRPr="00000000" w14:paraId="0000006A">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2021</w:t>
        <w:tab/>
        <w:tab/>
        <w:tab/>
        <w:t xml:space="preserve">Lecturer, Bite Size Teaching Series: Rash Rapid Review, Head Injuries</w:t>
      </w:r>
    </w:p>
    <w:p w:rsidR="00000000" w:rsidDel="00000000" w:rsidP="00000000" w:rsidRDefault="00000000" w:rsidRPr="00000000" w14:paraId="0000006C">
      <w:pPr>
        <w:spacing w:after="0" w:lineRule="auto"/>
        <w:ind w:left="21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1-hour lectures, 45 pediatric residents, pediatric department conference, CHOG </w:t>
      </w:r>
    </w:p>
    <w:p w:rsidR="00000000" w:rsidDel="00000000" w:rsidP="00000000" w:rsidRDefault="00000000" w:rsidRPr="00000000" w14:paraId="0000006D">
      <w:pPr>
        <w:spacing w:after="0" w:lineRule="auto"/>
        <w:ind w:left="2160" w:hanging="21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2020 - 2023</w:t>
        <w:tab/>
        <w:t xml:space="preserve">Lecturer, Evidence Based Medicine Series: Runaway Youth, Unintentional Household Injuries (Integrated into Aiken Community Site Curriculum), Superior Mesenteric Artery Syndrome, Dysmorphology</w:t>
      </w:r>
    </w:p>
    <w:p w:rsidR="00000000" w:rsidDel="00000000" w:rsidP="00000000" w:rsidRDefault="00000000" w:rsidRPr="00000000" w14:paraId="0000006E">
      <w:pPr>
        <w:spacing w:after="0" w:lineRule="auto"/>
        <w:ind w:left="2160" w:hanging="21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1-hour lectures, 45 pediatric residents, pediatric department conference, CHOG </w:t>
      </w:r>
    </w:p>
    <w:p w:rsidR="00000000" w:rsidDel="00000000" w:rsidP="00000000" w:rsidRDefault="00000000" w:rsidRPr="00000000" w14:paraId="0000006F">
      <w:pPr>
        <w:spacing w:after="0" w:lineRule="auto"/>
        <w:ind w:left="2160" w:hanging="21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2023 - 2025</w:t>
        <w:tab/>
        <w:t xml:space="preserve">Lecturer, Case Presentations: Pediatric Thyroid Nodules, Bardet-Biedl Syndrome, Complications of DKA, Hypocalcemia in a Teenager, Hyperlipidemia in New Onset T1D, Acquired Goiter in Pediatrics, Central Precocious Puberty Caused by Hypothalamic Hamartoma</w:t>
      </w:r>
    </w:p>
    <w:p w:rsidR="00000000" w:rsidDel="00000000" w:rsidP="00000000" w:rsidRDefault="00000000" w:rsidRPr="00000000" w14:paraId="00000070">
      <w:pPr>
        <w:spacing w:after="0" w:lineRule="auto"/>
        <w:ind w:left="2160" w:hanging="21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1-hour lectures, 6 pediatric endocrine fellows, pediatric endocrine division conference, CNH </w:t>
      </w:r>
    </w:p>
    <w:p w:rsidR="00000000" w:rsidDel="00000000" w:rsidP="00000000" w:rsidRDefault="00000000" w:rsidRPr="00000000" w14:paraId="00000071">
      <w:pPr>
        <w:spacing w:after="0" w:lineRule="auto"/>
        <w:ind w:left="2160" w:hanging="21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2024 </w:t>
        <w:tab/>
        <w:t xml:space="preserve">Lecturer, Professorial Rounds: Hypocalcemia in a Teenager</w:t>
      </w:r>
    </w:p>
    <w:p w:rsidR="00000000" w:rsidDel="00000000" w:rsidP="00000000" w:rsidRDefault="00000000" w:rsidRPr="00000000" w14:paraId="00000072">
      <w:pPr>
        <w:spacing w:after="0" w:lineRule="auto"/>
        <w:ind w:left="2160" w:hanging="21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1 hour lecture, 126 pediatric residents, 70 pediatric fellows, CNH</w:t>
      </w:r>
    </w:p>
    <w:p w:rsidR="00000000" w:rsidDel="00000000" w:rsidP="00000000" w:rsidRDefault="00000000" w:rsidRPr="00000000" w14:paraId="00000073">
      <w:pPr>
        <w:spacing w:after="0" w:lineRule="auto"/>
        <w:rPr/>
      </w:pPr>
      <w:r w:rsidDel="00000000" w:rsidR="00000000" w:rsidRPr="00000000">
        <w:rPr>
          <w:rFonts w:ascii="Times New Roman" w:cs="Times New Roman" w:eastAsia="Times New Roman" w:hAnsi="Times New Roman"/>
          <w:rtl w:val="0"/>
        </w:rPr>
        <w:t xml:space="preserve">2024 – 2026</w:t>
        <w:tab/>
        <w:t xml:space="preserve"> </w:t>
        <w:tab/>
        <w:t xml:space="preserve">Mentor, Bear Buddies Fellow-Resident Mentorship Program, CNH</w:t>
      </w:r>
      <w:r w:rsidDel="00000000" w:rsidR="00000000" w:rsidRPr="00000000">
        <w:rPr>
          <w:rtl w:val="0"/>
        </w:rPr>
      </w:r>
    </w:p>
    <w:p w:rsidR="00000000" w:rsidDel="00000000" w:rsidP="00000000" w:rsidRDefault="00000000" w:rsidRPr="00000000" w14:paraId="00000074">
      <w:pPr>
        <w:spacing w:after="0" w:lineRule="auto"/>
        <w:ind w:left="2160" w:hanging="21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2025 - 2026 </w:t>
        <w:tab/>
        <w:t xml:space="preserve">Lecturer, Journal Club: Using TITR as a Health-Promoting Strategy in Preschoolers; TZield and PETITE trial</w:t>
      </w:r>
    </w:p>
    <w:p w:rsidR="00000000" w:rsidDel="00000000" w:rsidP="00000000" w:rsidRDefault="00000000" w:rsidRPr="00000000" w14:paraId="00000075">
      <w:pPr>
        <w:spacing w:after="0" w:lineRule="auto"/>
        <w:ind w:left="2160" w:hanging="21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1-hour lectures, 6 pediatric endocrine fellows, pediatric endocrine division conference, CNH </w:t>
      </w:r>
    </w:p>
    <w:p w:rsidR="00000000" w:rsidDel="00000000" w:rsidP="00000000" w:rsidRDefault="00000000" w:rsidRPr="00000000" w14:paraId="00000076">
      <w:pPr>
        <w:spacing w:after="0" w:lineRule="auto"/>
        <w:ind w:left="2160" w:hanging="216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Research Activities </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Health inequities in Type 1 Diabetes</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Publications</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Peer-reviewed Journal Articles</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Sambangi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Collins P, Patel J, Chan J. Autoimmune Polyendocrinopathy in a Pediatric Patient Presenting With Multisystem Inflammatory Syndrome in Children (MIS-C).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Cureus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2023 May 1;15(5):e38407. doi: 10.7759/cureus.38407. PMID: 37265890; PMCID: PMC10232015.</w:t>
      </w:r>
    </w:p>
    <w:p w:rsidR="00000000" w:rsidDel="00000000" w:rsidP="00000000" w:rsidRDefault="00000000" w:rsidRPr="00000000" w14:paraId="0000008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Sambangi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Vaidyanathan P. Preventable hypothyroidism in a total parenteral nutrition-dependent infant with short bowel syndrome.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 Pediatr Endocrinol Diabetes.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doi:10.25259/JPED_85_2025.</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Submitted or In-Revision Peer-reviewed Journal Articles</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Abstracts</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Sambangi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Collins P, Patel J, Chan J. Autoimmune Polyendocrinopathy in a Pediatric Patient Presenting with Multisystem Inflammatory Syndrome in Children (MIS-C). Poster presented at Pediatric Endocrine Society (PES) Conference, San Diego, CA, May 2023. </w:t>
      </w:r>
    </w:p>
    <w:p w:rsidR="00000000" w:rsidDel="00000000" w:rsidP="00000000" w:rsidRDefault="00000000" w:rsidRPr="00000000" w14:paraId="0000008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Sambangi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Vaidyanathan P. Severe Hypothyroidism due to Iodine Deficiency in Infant with Short Bowel Syndrome on TPN. Poster presented at Pediatric Endocrine Society (PES) Conference, National Harbor, MD, May 2025, and at Children’s National Hospital Research, Education and Innovation (REI) Week 2026, Washington, DC.</w:t>
      </w:r>
    </w:p>
    <w:p w:rsidR="00000000" w:rsidDel="00000000" w:rsidP="00000000" w:rsidRDefault="00000000" w:rsidRPr="00000000" w14:paraId="0000008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Grundman J, Tran M, Longendyke 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Sambangi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Perkins A, Streisand R, Majidi S. Evaluating Time to Technology Initiation among Newly Diagnosed Youth with T1D. Poster presented at American Diabetes Association (ADA) Conference, Chicago, IL, June 2025</w:t>
      </w:r>
    </w:p>
    <w:p w:rsidR="00000000" w:rsidDel="00000000" w:rsidP="00000000" w:rsidRDefault="00000000" w:rsidRPr="00000000" w14:paraId="0000008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Sambangi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Holly SL, Grundman J, Majidi S. Insulin Pump Use in Hispanic Youth. Poster presented at International Society for Pediatric and Adolescent Diabetes (ISPAD) Conference, Montreal, Canada, November 2025, and at Children’s National Hospital REI Week 2026, Washington, DC.</w:t>
      </w:r>
    </w:p>
    <w:p w:rsidR="00000000" w:rsidDel="00000000" w:rsidP="00000000" w:rsidRDefault="00000000" w:rsidRPr="00000000" w14:paraId="0000008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Sambangi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Ho K, Meyers A, Majidi S. Improving Diabetes Care In A Pediatric Post-Anesthesia Care Unit.</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Poster presented at T1DX QI Learning Session, Atlanta, GA, November 2025, and at Children’s National Hospital REI Week 2026, Washington, DC.</w:t>
      </w:r>
    </w:p>
    <w:p w:rsidR="00000000" w:rsidDel="00000000" w:rsidP="00000000" w:rsidRDefault="00000000" w:rsidRPr="00000000" w14:paraId="0000008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Rangos 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Sambangi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Meyers A. Continuous Glucose Monitor Trends In Children With Glucokinase Maturity-Onset Diabetes Of The Young (GCK-MODY). Poster presented at PES, San Francisco, CA, May 2026.</w:t>
      </w:r>
    </w:p>
    <w:p w:rsidR="00000000" w:rsidDel="00000000" w:rsidP="00000000" w:rsidRDefault="00000000" w:rsidRPr="00000000" w14:paraId="0000008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Sambangi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Wilkerson E, Camp S, Roberts J, Richardson A, Majidi S. Improving Food Insecurity Through A Clinic Food Pharmacy Program. Poster presented at ADA Conference, New Orleans, LA, June 2026. </w:t>
      </w:r>
    </w:p>
    <w:p w:rsidR="00000000" w:rsidDel="00000000" w:rsidP="00000000" w:rsidRDefault="00000000" w:rsidRPr="00000000" w14:paraId="0000008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Grundman J,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Sambangi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Rangos N, Perkins A, Streisand R, Majidi S, Longendyke R. Shared Gains, Stubborn Gaps: CGM Outcomes at Diabetes Camp. Poster presented at ADA Conference, New Orleans, LA, June 2026.</w:t>
      </w:r>
    </w:p>
    <w:p w:rsidR="00000000" w:rsidDel="00000000" w:rsidP="00000000" w:rsidRDefault="00000000" w:rsidRPr="00000000" w14:paraId="0000008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Sambangi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Estrada A. Prolonged QTc as the Presenting Feature for Parathyroid Disorders. Poster accepted at International Conference on Children’s Bone Health (ICCBH), Montreal, Canada, June 2026. </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spacing w:after="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Published Multimedia</w:t>
      </w:r>
    </w:p>
    <w:p w:rsidR="00000000" w:rsidDel="00000000" w:rsidP="00000000" w:rsidRDefault="00000000" w:rsidRPr="00000000" w14:paraId="00000092">
      <w:pPr>
        <w:spacing w:after="0"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93">
      <w:pPr>
        <w:numPr>
          <w:ilvl w:val="0"/>
          <w:numId w:val="1"/>
        </w:numPr>
        <w:spacing w:after="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Sambangi C</w:t>
      </w:r>
      <w:r w:rsidDel="00000000" w:rsidR="00000000" w:rsidRPr="00000000">
        <w:rPr>
          <w:rFonts w:ascii="Times New Roman" w:cs="Times New Roman" w:eastAsia="Times New Roman" w:hAnsi="Times New Roman"/>
          <w:rtl w:val="0"/>
        </w:rPr>
        <w:t xml:space="preserve">, Horner C, Allen K. Pediatric Non-Accidental Trauma. The MCG Pediatric Podcast. June 2022. </w:t>
      </w:r>
      <w:hyperlink r:id="rId7">
        <w:r w:rsidDel="00000000" w:rsidR="00000000" w:rsidRPr="00000000">
          <w:rPr>
            <w:rFonts w:ascii="Times New Roman" w:cs="Times New Roman" w:eastAsia="Times New Roman" w:hAnsi="Times New Roman"/>
            <w:color w:val="156082"/>
            <w:rtl w:val="0"/>
          </w:rPr>
          <w:t xml:space="preserve">https://www.podbean.com/pu/pbblog-cnja4-734cd1</w:t>
        </w:r>
      </w:hyperlink>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Chaitanya Sambangi Page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01/10/2026</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2."/>
      <w:lvlJc w:val="left"/>
      <w:pPr>
        <w:ind w:left="1080" w:hanging="360"/>
      </w:pPr>
      <w:rPr/>
    </w:lvl>
    <w:lvl w:ilvl="2">
      <w:start w:val="1"/>
      <w:numFmt w:val="decimal"/>
      <w:lvlText w:val="%3."/>
      <w:lvlJc w:val="left"/>
      <w:pPr>
        <w:ind w:left="1800" w:hanging="360"/>
      </w:pPr>
      <w:rPr/>
    </w:lvl>
    <w:lvl w:ilvl="3">
      <w:start w:val="1"/>
      <w:numFmt w:val="decimal"/>
      <w:lvlText w:val="%4."/>
      <w:lvlJc w:val="left"/>
      <w:pPr>
        <w:ind w:left="2520" w:hanging="360"/>
      </w:pPr>
      <w:rPr/>
    </w:lvl>
    <w:lvl w:ilvl="4">
      <w:start w:val="1"/>
      <w:numFmt w:val="decimal"/>
      <w:lvlText w:val="%5."/>
      <w:lvlJc w:val="left"/>
      <w:pPr>
        <w:ind w:left="3240" w:hanging="360"/>
      </w:pPr>
      <w:rPr/>
    </w:lvl>
    <w:lvl w:ilvl="5">
      <w:start w:val="1"/>
      <w:numFmt w:val="decimal"/>
      <w:lvlText w:val="%6."/>
      <w:lvlJc w:val="left"/>
      <w:pPr>
        <w:ind w:left="3960" w:hanging="360"/>
      </w:pPr>
      <w:rPr/>
    </w:lvl>
    <w:lvl w:ilvl="6">
      <w:start w:val="1"/>
      <w:numFmt w:val="decimal"/>
      <w:lvlText w:val="%7."/>
      <w:lvlJc w:val="left"/>
      <w:pPr>
        <w:ind w:left="4680" w:hanging="360"/>
      </w:pPr>
      <w:rPr/>
    </w:lvl>
    <w:lvl w:ilvl="7">
      <w:start w:val="1"/>
      <w:numFmt w:val="decimal"/>
      <w:lvlText w:val="%8."/>
      <w:lvlJc w:val="left"/>
      <w:pPr>
        <w:ind w:left="5400" w:hanging="360"/>
      </w:pPr>
      <w:rPr/>
    </w:lvl>
    <w:lvl w:ilvl="8">
      <w:start w:val="1"/>
      <w:numFmt w:val="decimal"/>
      <w:lvlText w:val="%9."/>
      <w:lvlJc w:val="left"/>
      <w:pPr>
        <w:ind w:left="6120" w:hanging="360"/>
      </w:pPr>
      <w:rPr/>
    </w:lvl>
  </w:abstractNum>
  <w:abstractNum w:abstractNumId="2">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1"/>
      <w:numFmt w:val="decimal"/>
      <w:lvlText w:val="%1."/>
      <w:lvlJc w:val="left"/>
      <w:pPr>
        <w:ind w:left="360" w:hanging="360"/>
      </w:pPr>
      <w:rPr/>
    </w:lvl>
    <w:lvl w:ilvl="1">
      <w:start w:val="1"/>
      <w:numFmt w:val="decimal"/>
      <w:lvlText w:val="%2."/>
      <w:lvlJc w:val="left"/>
      <w:pPr>
        <w:ind w:left="1080" w:hanging="360"/>
      </w:pPr>
      <w:rPr/>
    </w:lvl>
    <w:lvl w:ilvl="2">
      <w:start w:val="1"/>
      <w:numFmt w:val="decimal"/>
      <w:lvlText w:val="%3."/>
      <w:lvlJc w:val="left"/>
      <w:pPr>
        <w:ind w:left="1800" w:hanging="360"/>
      </w:pPr>
      <w:rPr/>
    </w:lvl>
    <w:lvl w:ilvl="3">
      <w:start w:val="1"/>
      <w:numFmt w:val="decimal"/>
      <w:lvlText w:val="%4."/>
      <w:lvlJc w:val="left"/>
      <w:pPr>
        <w:ind w:left="2520" w:hanging="360"/>
      </w:pPr>
      <w:rPr/>
    </w:lvl>
    <w:lvl w:ilvl="4">
      <w:start w:val="1"/>
      <w:numFmt w:val="decimal"/>
      <w:lvlText w:val="%5."/>
      <w:lvlJc w:val="left"/>
      <w:pPr>
        <w:ind w:left="3240" w:hanging="360"/>
      </w:pPr>
      <w:rPr/>
    </w:lvl>
    <w:lvl w:ilvl="5">
      <w:start w:val="1"/>
      <w:numFmt w:val="decimal"/>
      <w:lvlText w:val="%6."/>
      <w:lvlJc w:val="left"/>
      <w:pPr>
        <w:ind w:left="3960" w:hanging="360"/>
      </w:pPr>
      <w:rPr/>
    </w:lvl>
    <w:lvl w:ilvl="6">
      <w:start w:val="1"/>
      <w:numFmt w:val="decimal"/>
      <w:lvlText w:val="%7."/>
      <w:lvlJc w:val="left"/>
      <w:pPr>
        <w:ind w:left="4680" w:hanging="360"/>
      </w:pPr>
      <w:rPr/>
    </w:lvl>
    <w:lvl w:ilvl="7">
      <w:start w:val="1"/>
      <w:numFmt w:val="decimal"/>
      <w:lvlText w:val="%8."/>
      <w:lvlJc w:val="left"/>
      <w:pPr>
        <w:ind w:left="5400" w:hanging="360"/>
      </w:pPr>
      <w:rPr/>
    </w:lvl>
    <w:lvl w:ilvl="8">
      <w:start w:val="1"/>
      <w:numFmt w:val="decimal"/>
      <w:lvlText w:val="%9."/>
      <w:lvlJc w:val="left"/>
      <w:pPr>
        <w:ind w:left="6120" w:hanging="36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Rule="auto"/>
      <w:jc w:val="center"/>
    </w:pPr>
    <w:rPr>
      <w:rFonts w:ascii="Play" w:cs="Play" w:eastAsia="Play" w:hAnsi="Play"/>
      <w:sz w:val="56"/>
      <w:szCs w:val="56"/>
    </w:rPr>
  </w:style>
  <w:style w:type="paragraph" w:styleId="Heading7">
    <w:name w:val="heading 7"/>
    <w:basedOn w:val="Normal"/>
    <w:next w:val="BodyText"/>
    <w:link w:val="Heading7Char"/>
    <w:uiPriority w:val="9"/>
    <w:semiHidden w:val="1"/>
    <w:unhideWhenUsed w:val="1"/>
    <w:qFormat w:val="1"/>
    <w:rsid w:val="00A10FD9"/>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BodyText"/>
    <w:link w:val="Heading8Char"/>
    <w:uiPriority w:val="9"/>
    <w:semiHidden w:val="1"/>
    <w:unhideWhenUsed w:val="1"/>
    <w:qFormat w:val="1"/>
    <w:rsid w:val="00A10FD9"/>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BodyText"/>
    <w:link w:val="Heading9Char"/>
    <w:uiPriority w:val="9"/>
    <w:semiHidden w:val="1"/>
    <w:unhideWhenUsed w:val="1"/>
    <w:qFormat w:val="1"/>
    <w:rsid w:val="00A10FD9"/>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qFormat w:val="1"/>
    <w:pPr>
      <w:spacing w:after="180" w:before="180"/>
    </w:pPr>
  </w:style>
  <w:style w:type="paragraph" w:styleId="FirstParagraph" w:customStyle="1">
    <w:name w:val="First Paragraph"/>
    <w:basedOn w:val="BodyText"/>
    <w:next w:val="BodyText"/>
    <w:qFormat w:val="1"/>
  </w:style>
  <w:style w:type="paragraph" w:styleId="Compact" w:customStyle="1">
    <w:name w:val="Compact"/>
    <w:basedOn w:val="BodyText"/>
    <w:qFormat w:val="1"/>
    <w:pPr>
      <w:spacing w:after="36" w:before="36"/>
    </w:pPr>
  </w:style>
  <w:style w:type="character" w:styleId="TitleChar" w:customStyle="1">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A10FD9"/>
    <w:rPr>
      <w:rFonts w:cstheme="majorBidi" w:eastAsiaTheme="majorEastAsia"/>
      <w:color w:val="595959" w:themeColor="text1" w:themeTint="0000A6"/>
      <w:spacing w:val="15"/>
      <w:sz w:val="28"/>
      <w:szCs w:val="28"/>
    </w:rPr>
  </w:style>
  <w:style w:type="paragraph" w:styleId="Author" w:customStyle="1">
    <w:name w:val="Author"/>
    <w:next w:val="BodyText"/>
    <w:qFormat w:val="1"/>
    <w:pPr>
      <w:keepNext w:val="1"/>
      <w:keepLines w:val="1"/>
      <w:jc w:val="center"/>
    </w:pPr>
  </w:style>
  <w:style w:type="paragraph" w:styleId="Date">
    <w:name w:val="Date"/>
    <w:next w:val="BodyText"/>
    <w:qFormat w:val="1"/>
    <w:pPr>
      <w:keepNext w:val="1"/>
      <w:keepLines w:val="1"/>
      <w:jc w:val="center"/>
    </w:pPr>
  </w:style>
  <w:style w:type="paragraph" w:styleId="AbstractTitle" w:customStyle="1">
    <w:name w:val="Abstract Title"/>
    <w:basedOn w:val="Normal"/>
    <w:next w:val="Abstract"/>
    <w:qFormat w:val="1"/>
    <w:pPr>
      <w:keepNext w:val="1"/>
      <w:keepLines w:val="1"/>
      <w:spacing w:after="0" w:before="300"/>
      <w:jc w:val="center"/>
    </w:pPr>
    <w:rPr>
      <w:b w:val="1"/>
      <w:sz w:val="20"/>
      <w:szCs w:val="20"/>
    </w:rPr>
  </w:style>
  <w:style w:type="paragraph" w:styleId="Abstract" w:customStyle="1">
    <w:name w:val="Abstract"/>
    <w:basedOn w:val="Normal"/>
    <w:next w:val="BodyText"/>
    <w:qFormat w:val="1"/>
    <w:pPr>
      <w:keepNext w:val="1"/>
      <w:keepLines w:val="1"/>
      <w:spacing w:after="300" w:before="100"/>
    </w:pPr>
    <w:rPr>
      <w:sz w:val="20"/>
      <w:szCs w:val="20"/>
    </w:rPr>
  </w:style>
  <w:style w:type="paragraph" w:styleId="Bibliography">
    <w:name w:val="Bibliography"/>
    <w:basedOn w:val="Normal"/>
    <w:qFormat w:val="1"/>
  </w:style>
  <w:style w:type="character" w:styleId="Heading1Char" w:customStyle="1">
    <w:name w:val="Heading 1 Char"/>
    <w:basedOn w:val="DefaultParagraphFont"/>
    <w:link w:val="Heading1"/>
    <w:uiPriority w:val="9"/>
    <w:rsid w:val="00A10FD9"/>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A10FD9"/>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A10FD9"/>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A10FD9"/>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A10FD9"/>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A10FD9"/>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A10FD9"/>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A10FD9"/>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A10FD9"/>
    <w:rPr>
      <w:rFonts w:cstheme="majorBidi" w:eastAsiaTheme="majorEastAsia"/>
      <w:color w:val="272727" w:themeColor="text1" w:themeTint="0000D8"/>
    </w:rPr>
  </w:style>
  <w:style w:type="paragraph" w:styleId="BlockText">
    <w:name w:val="Block Text"/>
    <w:basedOn w:val="BodyText"/>
    <w:next w:val="BodyText"/>
    <w:uiPriority w:val="9"/>
    <w:unhideWhenUsed w:val="1"/>
    <w:qFormat w:val="1"/>
    <w:pPr>
      <w:spacing w:after="100" w:before="100"/>
      <w:ind w:left="480" w:right="480"/>
    </w:pPr>
  </w:style>
  <w:style w:type="paragraph" w:styleId="FootnoteText">
    <w:name w:val="footnote text"/>
    <w:basedOn w:val="Normal"/>
    <w:uiPriority w:val="9"/>
    <w:unhideWhenUsed w:val="1"/>
    <w:qFormat w:val="1"/>
  </w:style>
  <w:style w:type="paragraph" w:styleId="FootnoteBlockText" w:customStyle="1">
    <w:name w:val="Footnote Block Text"/>
    <w:basedOn w:val="FootnoteText"/>
    <w:next w:val="FootnoteText"/>
    <w:uiPriority w:val="9"/>
    <w:unhideWhenUsed w:val="1"/>
    <w:qFormat w:val="1"/>
    <w:pPr>
      <w:spacing w:after="100" w:before="100"/>
      <w:ind w:left="480" w:right="480"/>
    </w:pPr>
  </w:style>
  <w:style w:type="table" w:styleId="Table" w:customStyle="1">
    <w:name w:val="Table"/>
    <w:semiHidden w:val="1"/>
    <w:unhideWhenUsed w:val="1"/>
    <w:qFormat w:val="1"/>
    <w:tblPr>
      <w:tblInd w:w="0.0" w:type="dxa"/>
      <w:tblCellMar>
        <w:top w:w="0.0" w:type="dxa"/>
        <w:left w:w="108.0" w:type="dxa"/>
        <w:bottom w:w="0.0" w:type="dxa"/>
        <w:right w:w="108.0" w:type="dxa"/>
      </w:tblCellMar>
    </w:tblPr>
    <w:tblStylePr w:type="firstRow">
      <w:tblPr>
        <w:jc w:val="left"/>
      </w:tblPr>
      <w:trPr>
        <w:jc w:val="left"/>
      </w:trPr>
      <w:tcPr>
        <w:tcBorders>
          <w:bottom w:color="auto" w:space="0" w:sz="0" w:val="single"/>
        </w:tcBorders>
        <w:vAlign w:val="bottom"/>
      </w:tcPr>
    </w:tblStylePr>
  </w:style>
  <w:style w:type="paragraph" w:styleId="DefinitionTerm" w:customStyle="1">
    <w:name w:val="Definition Term"/>
    <w:basedOn w:val="Normal"/>
    <w:next w:val="Definition"/>
    <w:pPr>
      <w:keepNext w:val="1"/>
      <w:keepLines w:val="1"/>
      <w:spacing w:after="0"/>
    </w:pPr>
    <w:rPr>
      <w:b w:val="1"/>
    </w:rPr>
  </w:style>
  <w:style w:type="paragraph" w:styleId="Definition" w:customStyle="1">
    <w:name w:val="Definition"/>
    <w:basedOn w:val="Normal"/>
  </w:style>
  <w:style w:type="paragraph" w:styleId="Caption">
    <w:name w:val="caption"/>
    <w:basedOn w:val="Normal"/>
    <w:link w:val="CaptionChar"/>
    <w:pPr>
      <w:spacing w:after="120"/>
    </w:pPr>
    <w:rPr>
      <w:i w:val="1"/>
    </w:rPr>
  </w:style>
  <w:style w:type="paragraph" w:styleId="TableCaption" w:customStyle="1">
    <w:name w:val="Table Caption"/>
    <w:basedOn w:val="Caption"/>
    <w:pPr>
      <w:keepNext w:val="1"/>
    </w:pPr>
  </w:style>
  <w:style w:type="paragraph" w:styleId="ImageCaption" w:customStyle="1">
    <w:name w:val="Image Caption"/>
    <w:basedOn w:val="Caption"/>
  </w:style>
  <w:style w:type="paragraph" w:styleId="Figure" w:customStyle="1">
    <w:name w:val="Figure"/>
    <w:basedOn w:val="Normal"/>
  </w:style>
  <w:style w:type="paragraph" w:styleId="CaptionedFigure" w:customStyle="1">
    <w:name w:val="Captioned Figure"/>
    <w:basedOn w:val="Figure"/>
    <w:pPr>
      <w:keepNext w:val="1"/>
    </w:pPr>
  </w:style>
  <w:style w:type="character" w:styleId="CaptionChar" w:customStyle="1">
    <w:name w:val="Caption Char"/>
    <w:basedOn w:val="DefaultParagraphFont"/>
    <w:link w:val="Caption"/>
  </w:style>
  <w:style w:type="character" w:styleId="VerbatimChar" w:customStyle="1">
    <w:name w:val="Verbatim Char"/>
    <w:basedOn w:val="CaptionChar"/>
    <w:link w:val="SourceCode"/>
    <w:rPr>
      <w:rFonts w:ascii="Consolas" w:hAnsi="Consolas"/>
      <w:sz w:val="22"/>
    </w:rPr>
  </w:style>
  <w:style w:type="character" w:styleId="SectionNumber" w:customStyle="1">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val="1"/>
    <w:qFormat w:val="1"/>
    <w:pPr>
      <w:spacing w:before="240" w:line="259" w:lineRule="auto"/>
      <w:outlineLvl w:val="9"/>
    </w:pPr>
  </w:style>
  <w:style w:type="paragraph" w:styleId="SourceCode" w:customStyle="1">
    <w:name w:val="Source Code"/>
    <w:basedOn w:val="Normal"/>
    <w:link w:val="VerbatimChar"/>
    <w:pPr>
      <w:wordWrap w:val="0"/>
    </w:pPr>
  </w:style>
  <w:style w:type="character" w:styleId="KeywordTok" w:customStyle="1">
    <w:name w:val="KeywordTok"/>
    <w:basedOn w:val="VerbatimChar"/>
    <w:rPr>
      <w:rFonts w:ascii="Consolas" w:hAnsi="Consolas"/>
      <w:b w:val="1"/>
      <w:color w:val="007020"/>
      <w:sz w:val="22"/>
    </w:rPr>
  </w:style>
  <w:style w:type="character" w:styleId="DataTypeTok" w:customStyle="1">
    <w:name w:val="DataTypeTok"/>
    <w:basedOn w:val="VerbatimChar"/>
    <w:rPr>
      <w:rFonts w:ascii="Consolas" w:hAnsi="Consolas"/>
      <w:color w:val="902000"/>
      <w:sz w:val="22"/>
    </w:rPr>
  </w:style>
  <w:style w:type="character" w:styleId="DecValTok" w:customStyle="1">
    <w:name w:val="DecValTok"/>
    <w:basedOn w:val="VerbatimChar"/>
    <w:rPr>
      <w:rFonts w:ascii="Consolas" w:hAnsi="Consolas"/>
      <w:color w:val="40a070"/>
      <w:sz w:val="22"/>
    </w:rPr>
  </w:style>
  <w:style w:type="character" w:styleId="BaseNTok" w:customStyle="1">
    <w:name w:val="BaseNTok"/>
    <w:basedOn w:val="VerbatimChar"/>
    <w:rPr>
      <w:rFonts w:ascii="Consolas" w:hAnsi="Consolas"/>
      <w:color w:val="40a070"/>
      <w:sz w:val="22"/>
    </w:rPr>
  </w:style>
  <w:style w:type="character" w:styleId="FloatTok" w:customStyle="1">
    <w:name w:val="FloatTok"/>
    <w:basedOn w:val="VerbatimChar"/>
    <w:rPr>
      <w:rFonts w:ascii="Consolas" w:hAnsi="Consolas"/>
      <w:color w:val="40a070"/>
      <w:sz w:val="22"/>
    </w:rPr>
  </w:style>
  <w:style w:type="character" w:styleId="ConstantTok" w:customStyle="1">
    <w:name w:val="ConstantTok"/>
    <w:basedOn w:val="VerbatimChar"/>
    <w:rPr>
      <w:rFonts w:ascii="Consolas" w:hAnsi="Consolas"/>
      <w:color w:val="880000"/>
      <w:sz w:val="22"/>
    </w:rPr>
  </w:style>
  <w:style w:type="character" w:styleId="CharTok" w:customStyle="1">
    <w:name w:val="CharTok"/>
    <w:basedOn w:val="VerbatimChar"/>
    <w:rPr>
      <w:rFonts w:ascii="Consolas" w:hAnsi="Consolas"/>
      <w:color w:val="4070a0"/>
      <w:sz w:val="22"/>
    </w:rPr>
  </w:style>
  <w:style w:type="character" w:styleId="SpecialCharTok" w:customStyle="1">
    <w:name w:val="SpecialCharTok"/>
    <w:basedOn w:val="VerbatimChar"/>
    <w:rPr>
      <w:rFonts w:ascii="Consolas" w:hAnsi="Consolas"/>
      <w:color w:val="4070a0"/>
      <w:sz w:val="22"/>
    </w:rPr>
  </w:style>
  <w:style w:type="character" w:styleId="StringTok" w:customStyle="1">
    <w:name w:val="StringTok"/>
    <w:basedOn w:val="VerbatimChar"/>
    <w:rPr>
      <w:rFonts w:ascii="Consolas" w:hAnsi="Consolas"/>
      <w:color w:val="4070a0"/>
      <w:sz w:val="22"/>
    </w:rPr>
  </w:style>
  <w:style w:type="character" w:styleId="VerbatimStringTok" w:customStyle="1">
    <w:name w:val="VerbatimStringTok"/>
    <w:basedOn w:val="VerbatimChar"/>
    <w:rPr>
      <w:rFonts w:ascii="Consolas" w:hAnsi="Consolas"/>
      <w:color w:val="4070a0"/>
      <w:sz w:val="22"/>
    </w:rPr>
  </w:style>
  <w:style w:type="character" w:styleId="SpecialStringTok" w:customStyle="1">
    <w:name w:val="SpecialStringTok"/>
    <w:basedOn w:val="VerbatimChar"/>
    <w:rPr>
      <w:rFonts w:ascii="Consolas" w:hAnsi="Consolas"/>
      <w:color w:val="bb6688"/>
      <w:sz w:val="22"/>
    </w:rPr>
  </w:style>
  <w:style w:type="character" w:styleId="ImportTok" w:customStyle="1">
    <w:name w:val="ImportTok"/>
    <w:basedOn w:val="VerbatimChar"/>
    <w:rPr>
      <w:rFonts w:ascii="Consolas" w:hAnsi="Consolas"/>
      <w:b w:val="1"/>
      <w:color w:val="008000"/>
      <w:sz w:val="22"/>
    </w:rPr>
  </w:style>
  <w:style w:type="character" w:styleId="CommentTok" w:customStyle="1">
    <w:name w:val="CommentTok"/>
    <w:basedOn w:val="VerbatimChar"/>
    <w:rPr>
      <w:rFonts w:ascii="Consolas" w:hAnsi="Consolas"/>
      <w:i w:val="1"/>
      <w:color w:val="60a0b0"/>
      <w:sz w:val="22"/>
    </w:rPr>
  </w:style>
  <w:style w:type="character" w:styleId="DocumentationTok" w:customStyle="1">
    <w:name w:val="DocumentationTok"/>
    <w:basedOn w:val="VerbatimChar"/>
    <w:rPr>
      <w:rFonts w:ascii="Consolas" w:hAnsi="Consolas"/>
      <w:i w:val="1"/>
      <w:color w:val="ba2121"/>
      <w:sz w:val="22"/>
    </w:rPr>
  </w:style>
  <w:style w:type="character" w:styleId="AnnotationTok" w:customStyle="1">
    <w:name w:val="AnnotationTok"/>
    <w:basedOn w:val="VerbatimChar"/>
    <w:rPr>
      <w:rFonts w:ascii="Consolas" w:hAnsi="Consolas"/>
      <w:b w:val="1"/>
      <w:i w:val="1"/>
      <w:color w:val="60a0b0"/>
      <w:sz w:val="22"/>
    </w:rPr>
  </w:style>
  <w:style w:type="character" w:styleId="CommentVarTok" w:customStyle="1">
    <w:name w:val="CommentVarTok"/>
    <w:basedOn w:val="VerbatimChar"/>
    <w:rPr>
      <w:rFonts w:ascii="Consolas" w:hAnsi="Consolas"/>
      <w:b w:val="1"/>
      <w:i w:val="1"/>
      <w:color w:val="60a0b0"/>
      <w:sz w:val="22"/>
    </w:rPr>
  </w:style>
  <w:style w:type="character" w:styleId="OtherTok" w:customStyle="1">
    <w:name w:val="OtherTok"/>
    <w:basedOn w:val="VerbatimChar"/>
    <w:rPr>
      <w:rFonts w:ascii="Consolas" w:hAnsi="Consolas"/>
      <w:color w:val="007020"/>
      <w:sz w:val="22"/>
    </w:rPr>
  </w:style>
  <w:style w:type="character" w:styleId="FunctionTok" w:customStyle="1">
    <w:name w:val="FunctionTok"/>
    <w:basedOn w:val="VerbatimChar"/>
    <w:rPr>
      <w:rFonts w:ascii="Consolas" w:hAnsi="Consolas"/>
      <w:color w:val="06287e"/>
      <w:sz w:val="22"/>
    </w:rPr>
  </w:style>
  <w:style w:type="character" w:styleId="VariableTok" w:customStyle="1">
    <w:name w:val="VariableTok"/>
    <w:basedOn w:val="VerbatimChar"/>
    <w:rPr>
      <w:rFonts w:ascii="Consolas" w:hAnsi="Consolas"/>
      <w:color w:val="19177c"/>
      <w:sz w:val="22"/>
    </w:rPr>
  </w:style>
  <w:style w:type="character" w:styleId="ControlFlowTok" w:customStyle="1">
    <w:name w:val="ControlFlowTok"/>
    <w:basedOn w:val="VerbatimChar"/>
    <w:rPr>
      <w:rFonts w:ascii="Consolas" w:hAnsi="Consolas"/>
      <w:b w:val="1"/>
      <w:color w:val="007020"/>
      <w:sz w:val="22"/>
    </w:rPr>
  </w:style>
  <w:style w:type="character" w:styleId="OperatorTok" w:customStyle="1">
    <w:name w:val="OperatorTok"/>
    <w:basedOn w:val="VerbatimChar"/>
    <w:rPr>
      <w:rFonts w:ascii="Consolas" w:hAnsi="Consolas"/>
      <w:color w:val="666666"/>
      <w:sz w:val="22"/>
    </w:rPr>
  </w:style>
  <w:style w:type="character" w:styleId="BuiltInTok" w:customStyle="1">
    <w:name w:val="BuiltInTok"/>
    <w:basedOn w:val="VerbatimChar"/>
    <w:rPr>
      <w:rFonts w:ascii="Consolas" w:hAnsi="Consolas"/>
      <w:color w:val="008000"/>
      <w:sz w:val="22"/>
    </w:rPr>
  </w:style>
  <w:style w:type="character" w:styleId="ExtensionTok" w:customStyle="1">
    <w:name w:val="ExtensionTok"/>
    <w:basedOn w:val="VerbatimChar"/>
    <w:rPr>
      <w:rFonts w:ascii="Consolas" w:hAnsi="Consolas"/>
      <w:sz w:val="22"/>
    </w:rPr>
  </w:style>
  <w:style w:type="character" w:styleId="PreprocessorTok" w:customStyle="1">
    <w:name w:val="PreprocessorTok"/>
    <w:basedOn w:val="VerbatimChar"/>
    <w:rPr>
      <w:rFonts w:ascii="Consolas" w:hAnsi="Consolas"/>
      <w:color w:val="bc7a00"/>
      <w:sz w:val="22"/>
    </w:rPr>
  </w:style>
  <w:style w:type="character" w:styleId="AttributeTok" w:customStyle="1">
    <w:name w:val="AttributeTok"/>
    <w:basedOn w:val="VerbatimChar"/>
    <w:rPr>
      <w:rFonts w:ascii="Consolas" w:hAnsi="Consolas"/>
      <w:color w:val="7d9029"/>
      <w:sz w:val="22"/>
    </w:rPr>
  </w:style>
  <w:style w:type="character" w:styleId="RegionMarkerTok" w:customStyle="1">
    <w:name w:val="RegionMarkerTok"/>
    <w:basedOn w:val="VerbatimChar"/>
    <w:rPr>
      <w:rFonts w:ascii="Consolas" w:hAnsi="Consolas"/>
      <w:sz w:val="22"/>
    </w:rPr>
  </w:style>
  <w:style w:type="character" w:styleId="InformationTok" w:customStyle="1">
    <w:name w:val="InformationTok"/>
    <w:basedOn w:val="VerbatimChar"/>
    <w:rPr>
      <w:rFonts w:ascii="Consolas" w:hAnsi="Consolas"/>
      <w:b w:val="1"/>
      <w:i w:val="1"/>
      <w:color w:val="60a0b0"/>
      <w:sz w:val="22"/>
    </w:rPr>
  </w:style>
  <w:style w:type="character" w:styleId="WarningTok" w:customStyle="1">
    <w:name w:val="WarningTok"/>
    <w:basedOn w:val="VerbatimChar"/>
    <w:rPr>
      <w:rFonts w:ascii="Consolas" w:hAnsi="Consolas"/>
      <w:b w:val="1"/>
      <w:i w:val="1"/>
      <w:color w:val="60a0b0"/>
      <w:sz w:val="22"/>
    </w:rPr>
  </w:style>
  <w:style w:type="character" w:styleId="AlertTok" w:customStyle="1">
    <w:name w:val="AlertTok"/>
    <w:basedOn w:val="VerbatimChar"/>
    <w:rPr>
      <w:rFonts w:ascii="Consolas" w:hAnsi="Consolas"/>
      <w:b w:val="1"/>
      <w:color w:val="ff0000"/>
      <w:sz w:val="22"/>
    </w:rPr>
  </w:style>
  <w:style w:type="character" w:styleId="ErrorTok" w:customStyle="1">
    <w:name w:val="ErrorTok"/>
    <w:basedOn w:val="VerbatimChar"/>
    <w:rPr>
      <w:rFonts w:ascii="Consolas" w:hAnsi="Consolas"/>
      <w:b w:val="1"/>
      <w:color w:val="ff0000"/>
      <w:sz w:val="22"/>
    </w:rPr>
  </w:style>
  <w:style w:type="character" w:styleId="NormalTok" w:customStyle="1">
    <w:name w:val="NormalTok"/>
    <w:basedOn w:val="VerbatimChar"/>
    <w:rPr>
      <w:rFonts w:ascii="Consolas" w:hAnsi="Consolas"/>
      <w:sz w:val="22"/>
    </w:rPr>
  </w:style>
  <w:style w:type="paragraph" w:styleId="ListParagraph">
    <w:name w:val="List Paragraph"/>
    <w:basedOn w:val="Normal"/>
    <w:rsid w:val="00772C1D"/>
    <w:pPr>
      <w:ind w:left="720"/>
      <w:contextualSpacing w:val="1"/>
    </w:pPr>
  </w:style>
  <w:style w:type="character" w:styleId="UnresolvedMention">
    <w:name w:val="Unresolved Mention"/>
    <w:basedOn w:val="DefaultParagraphFont"/>
    <w:uiPriority w:val="99"/>
    <w:semiHidden w:val="1"/>
    <w:unhideWhenUsed w:val="1"/>
    <w:rsid w:val="007934F5"/>
    <w:rPr>
      <w:color w:val="605e5c"/>
      <w:shd w:color="auto" w:fill="e1dfdd" w:val="clear"/>
    </w:rPr>
  </w:style>
  <w:style w:type="character" w:styleId="CommentReference">
    <w:name w:val="annotation reference"/>
    <w:basedOn w:val="DefaultParagraphFont"/>
    <w:rsid w:val="0058476B"/>
    <w:rPr>
      <w:sz w:val="16"/>
      <w:szCs w:val="16"/>
    </w:rPr>
  </w:style>
  <w:style w:type="paragraph" w:styleId="CommentText">
    <w:name w:val="annotation text"/>
    <w:basedOn w:val="Normal"/>
    <w:link w:val="CommentTextChar"/>
    <w:rsid w:val="0058476B"/>
    <w:rPr>
      <w:sz w:val="20"/>
      <w:szCs w:val="20"/>
    </w:rPr>
  </w:style>
  <w:style w:type="character" w:styleId="CommentTextChar" w:customStyle="1">
    <w:name w:val="Comment Text Char"/>
    <w:basedOn w:val="DefaultParagraphFont"/>
    <w:link w:val="CommentText"/>
    <w:rsid w:val="0058476B"/>
    <w:rPr>
      <w:sz w:val="20"/>
      <w:szCs w:val="20"/>
    </w:rPr>
  </w:style>
  <w:style w:type="paragraph" w:styleId="CommentSubject">
    <w:name w:val="annotation subject"/>
    <w:basedOn w:val="CommentText"/>
    <w:next w:val="CommentText"/>
    <w:link w:val="CommentSubjectChar"/>
    <w:rsid w:val="0058476B"/>
    <w:rPr>
      <w:b w:val="1"/>
      <w:bCs w:val="1"/>
    </w:rPr>
  </w:style>
  <w:style w:type="character" w:styleId="CommentSubjectChar" w:customStyle="1">
    <w:name w:val="Comment Subject Char"/>
    <w:basedOn w:val="CommentTextChar"/>
    <w:link w:val="CommentSubject"/>
    <w:rsid w:val="0058476B"/>
    <w:rPr>
      <w:b w:val="1"/>
      <w:bCs w:val="1"/>
      <w:sz w:val="20"/>
      <w:szCs w:val="20"/>
    </w:rPr>
  </w:style>
  <w:style w:type="paragraph" w:styleId="Header">
    <w:name w:val="header"/>
    <w:basedOn w:val="Normal"/>
    <w:link w:val="HeaderChar"/>
    <w:rsid w:val="00E7324D"/>
    <w:pPr>
      <w:tabs>
        <w:tab w:val="center" w:pos="4680"/>
        <w:tab w:val="right" w:pos="9360"/>
      </w:tabs>
      <w:spacing w:after="0"/>
    </w:pPr>
  </w:style>
  <w:style w:type="character" w:styleId="HeaderChar" w:customStyle="1">
    <w:name w:val="Header Char"/>
    <w:basedOn w:val="DefaultParagraphFont"/>
    <w:link w:val="Header"/>
    <w:rsid w:val="00E7324D"/>
  </w:style>
  <w:style w:type="paragraph" w:styleId="Footer">
    <w:name w:val="footer"/>
    <w:basedOn w:val="Normal"/>
    <w:link w:val="FooterChar"/>
    <w:uiPriority w:val="99"/>
    <w:rsid w:val="00E7324D"/>
    <w:pPr>
      <w:tabs>
        <w:tab w:val="center" w:pos="4680"/>
        <w:tab w:val="right" w:pos="9360"/>
      </w:tabs>
      <w:spacing w:after="0"/>
    </w:pPr>
  </w:style>
  <w:style w:type="character" w:styleId="FooterChar" w:customStyle="1">
    <w:name w:val="Footer Char"/>
    <w:basedOn w:val="DefaultParagraphFont"/>
    <w:link w:val="Footer"/>
    <w:uiPriority w:val="99"/>
    <w:rsid w:val="00E7324D"/>
  </w:style>
  <w:style w:type="paragraph" w:styleId="Subtitle">
    <w:name w:val="Subtitle"/>
    <w:basedOn w:val="Normal"/>
    <w:next w:val="Normal"/>
    <w:pPr>
      <w:spacing w:after="80" w:lineRule="auto"/>
      <w:jc w:val="center"/>
    </w:pPr>
    <w:rPr>
      <w:rFonts w:ascii="Play" w:cs="Play" w:eastAsia="Play" w:hAnsi="Play"/>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podbean.com/pu/pbblog-cnja4-734cd1"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idchiZZEUdDI4l9NhFSnvOmWgA==">CgMxLjA4AHIhMXU0TDBBaTA3UUpSaGVaOGpWWXNsRExSQmdHTG5Pb3dm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2025-09-02T01:14:00Z</dcterms:created>
  <dc:creator>Dauber, Andrew</dc:creator>
</cp:coreProperties>
</file>